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EE" w:rsidRPr="002D38EE" w:rsidRDefault="002D38EE" w:rsidP="0045500D">
      <w:pPr>
        <w:ind w:leftChars="300" w:left="630" w:rightChars="200" w:right="420"/>
        <w:rPr>
          <w:rFonts w:asciiTheme="majorEastAsia" w:eastAsiaTheme="majorEastAsia" w:hAnsiTheme="majorEastAsia"/>
        </w:rPr>
      </w:pPr>
      <w:r w:rsidRPr="002D38EE">
        <w:rPr>
          <w:rFonts w:asciiTheme="majorEastAsia" w:eastAsiaTheme="majorEastAsia" w:hAnsiTheme="majorEastAsia" w:hint="eastAsia"/>
        </w:rPr>
        <w:t>居宅介護支援費の算定に関する特定事業所集中減算の取扱いについて</w:t>
      </w:r>
    </w:p>
    <w:p w:rsidR="002D38EE" w:rsidRPr="0088549D" w:rsidRDefault="002D38EE" w:rsidP="002D38EE"/>
    <w:p w:rsidR="002D38EE" w:rsidRDefault="007E54A7" w:rsidP="002D38EE">
      <w:pPr>
        <w:ind w:firstLineChars="100" w:firstLine="210"/>
      </w:pPr>
      <w:r>
        <w:rPr>
          <w:rFonts w:hint="eastAsia"/>
        </w:rPr>
        <w:t>判定期間</w:t>
      </w:r>
      <w:r w:rsidR="002D38EE">
        <w:rPr>
          <w:rFonts w:hint="eastAsia"/>
        </w:rPr>
        <w:t>における紹介率最高法人の割合が８０％を超える事業所（以下、「超過事業所」という。）が示す正当な理由の適否を判定する「正当な理由の範囲基準」については、下記Ⅰのとおりとしましたのでお知らせします。</w:t>
      </w:r>
    </w:p>
    <w:p w:rsidR="002D38EE" w:rsidRDefault="002D38EE" w:rsidP="002D38EE">
      <w:pPr>
        <w:ind w:firstLineChars="100" w:firstLine="210"/>
      </w:pPr>
      <w:r>
        <w:rPr>
          <w:rFonts w:hint="eastAsia"/>
        </w:rPr>
        <w:t>また、特定事業所集中減算の取扱いについては下記Ⅱのとおりであり、下記Ⅲに提示してある様式により、全ての指定居宅介護支援事業所において管理していただくこととなって</w:t>
      </w:r>
      <w:r w:rsidR="0088549D">
        <w:rPr>
          <w:rFonts w:hint="eastAsia"/>
        </w:rPr>
        <w:t>い</w:t>
      </w:r>
      <w:r>
        <w:rPr>
          <w:rFonts w:hint="eastAsia"/>
        </w:rPr>
        <w:t>ますのでよろしくお願いします。</w:t>
      </w:r>
    </w:p>
    <w:p w:rsidR="002D38EE" w:rsidRDefault="002D38EE" w:rsidP="002D38EE">
      <w:pPr>
        <w:ind w:firstLineChars="100" w:firstLine="210"/>
      </w:pPr>
      <w:r>
        <w:rPr>
          <w:rFonts w:hint="eastAsia"/>
        </w:rPr>
        <w:t>なお、居宅介護支援費の算定に係る特定事業所集中減算については、「指定居宅介護支援に要する費用の額の算定に関する基準」（平成１２年厚生省告示第２０号）及び「厚生労働大臣が定める基準」（平成</w:t>
      </w:r>
      <w:r w:rsidR="0088549D">
        <w:rPr>
          <w:rFonts w:hint="eastAsia"/>
        </w:rPr>
        <w:t>１２</w:t>
      </w:r>
      <w:r>
        <w:rPr>
          <w:rFonts w:hint="eastAsia"/>
        </w:rPr>
        <w:t>年厚</w:t>
      </w:r>
      <w:r w:rsidR="0088549D">
        <w:rPr>
          <w:rFonts w:hint="eastAsia"/>
        </w:rPr>
        <w:t>生省告示第２</w:t>
      </w:r>
      <w:r>
        <w:rPr>
          <w:rFonts w:hint="eastAsia"/>
        </w:rPr>
        <w:t>５号）により設けられており、その運用に係る留意事項については、「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老企第３６号）により示されています。</w:t>
      </w:r>
    </w:p>
    <w:p w:rsidR="0088549D" w:rsidRPr="0088549D" w:rsidRDefault="0088549D" w:rsidP="002D38EE">
      <w:pPr>
        <w:ind w:firstLineChars="100" w:firstLine="210"/>
      </w:pPr>
      <w:r>
        <w:rPr>
          <w:rFonts w:hint="eastAsia"/>
        </w:rPr>
        <w:t>また、特定事業所集中減算における「通所介護・地域密着型通所介護」の取扱いについては、「居宅介護支援における特定事業所集中減算（通所介護・地域密着型通所介護）の取扱いについて」（平成２８年５月３０日事務連絡）により示されています。</w:t>
      </w:r>
    </w:p>
    <w:p w:rsidR="002D38EE" w:rsidRDefault="002D38EE" w:rsidP="002D38EE"/>
    <w:p w:rsidR="007E54A7" w:rsidRDefault="002D38EE" w:rsidP="007E54A7">
      <w:pPr>
        <w:rPr>
          <w:rFonts w:hint="eastAsia"/>
        </w:rPr>
      </w:pPr>
      <w:r>
        <w:rPr>
          <w:rFonts w:hint="eastAsia"/>
        </w:rPr>
        <w:t>（参考）</w:t>
      </w:r>
    </w:p>
    <w:p w:rsidR="002D38EE" w:rsidRDefault="007E54A7" w:rsidP="007E54A7">
      <w:r>
        <w:rPr>
          <w:rFonts w:hint="eastAsia"/>
        </w:rPr>
        <w:t xml:space="preserve">【前期】　</w:t>
      </w:r>
      <w:r w:rsidR="002D38EE" w:rsidRPr="002D38EE">
        <w:rPr>
          <w:rFonts w:asciiTheme="majorEastAsia" w:eastAsiaTheme="majorEastAsia" w:hAnsiTheme="majorEastAsia" w:hint="eastAsia"/>
        </w:rPr>
        <w:t>○判定期間</w:t>
      </w:r>
      <w:r>
        <w:rPr>
          <w:rFonts w:asciiTheme="majorEastAsia" w:eastAsiaTheme="majorEastAsia" w:hAnsiTheme="majorEastAsia" w:hint="eastAsia"/>
        </w:rPr>
        <w:t xml:space="preserve">　　　</w:t>
      </w:r>
      <w:r>
        <w:rPr>
          <w:rFonts w:hint="eastAsia"/>
        </w:rPr>
        <w:t>３</w:t>
      </w:r>
      <w:r w:rsidR="0088549D">
        <w:rPr>
          <w:rFonts w:hint="eastAsia"/>
        </w:rPr>
        <w:t>月１日から</w:t>
      </w:r>
      <w:r>
        <w:rPr>
          <w:rFonts w:hint="eastAsia"/>
        </w:rPr>
        <w:t>同年８月末日まで</w:t>
      </w:r>
    </w:p>
    <w:p w:rsidR="007E54A7" w:rsidRPr="007E54A7" w:rsidRDefault="007E54A7" w:rsidP="007E54A7">
      <w:pPr>
        <w:ind w:leftChars="100" w:left="210"/>
      </w:pPr>
      <w:r>
        <w:rPr>
          <w:rFonts w:asciiTheme="majorEastAsia" w:eastAsiaTheme="majorEastAsia" w:hAnsiTheme="majorEastAsia" w:hint="eastAsia"/>
        </w:rPr>
        <w:t xml:space="preserve">　　　　</w:t>
      </w:r>
      <w:r w:rsidR="002D38EE" w:rsidRPr="002D38EE">
        <w:rPr>
          <w:rFonts w:asciiTheme="majorEastAsia" w:eastAsiaTheme="majorEastAsia" w:hAnsiTheme="majorEastAsia" w:hint="eastAsia"/>
        </w:rPr>
        <w:t>○減算適用期間</w:t>
      </w:r>
      <w:r>
        <w:rPr>
          <w:rFonts w:asciiTheme="majorEastAsia" w:eastAsiaTheme="majorEastAsia" w:hAnsiTheme="majorEastAsia" w:hint="eastAsia"/>
        </w:rPr>
        <w:t xml:space="preserve">　</w:t>
      </w:r>
      <w:r>
        <w:rPr>
          <w:rFonts w:hint="eastAsia"/>
        </w:rPr>
        <w:t>１０月１日から翌年３月３１日まで</w:t>
      </w:r>
    </w:p>
    <w:p w:rsidR="007E54A7" w:rsidRDefault="007E54A7" w:rsidP="002D38EE">
      <w:pPr>
        <w:rPr>
          <w:rFonts w:hint="eastAsia"/>
        </w:rPr>
      </w:pPr>
    </w:p>
    <w:p w:rsidR="002D38EE" w:rsidRDefault="007E54A7" w:rsidP="002D38EE">
      <w:pPr>
        <w:rPr>
          <w:rFonts w:hint="eastAsia"/>
        </w:rPr>
      </w:pPr>
      <w:r>
        <w:rPr>
          <w:rFonts w:hint="eastAsia"/>
        </w:rPr>
        <w:t>【後期】　○判定期間　　　９月１日から翌年２月末日まで</w:t>
      </w:r>
    </w:p>
    <w:p w:rsidR="007E54A7" w:rsidRDefault="007E54A7" w:rsidP="002D38EE">
      <w:pPr>
        <w:rPr>
          <w:rFonts w:hint="eastAsia"/>
        </w:rPr>
      </w:pPr>
      <w:r>
        <w:rPr>
          <w:rFonts w:hint="eastAsia"/>
        </w:rPr>
        <w:t xml:space="preserve">　　　　　○減算適用期間　４月１日から同年９月３０日まで</w:t>
      </w:r>
    </w:p>
    <w:p w:rsidR="007E54A7" w:rsidRPr="007E54A7" w:rsidRDefault="007E54A7" w:rsidP="002D38EE"/>
    <w:p w:rsidR="002D38EE" w:rsidRDefault="002D38EE" w:rsidP="00DF2B82">
      <w:pPr>
        <w:jc w:val="center"/>
        <w:rPr>
          <w:rFonts w:hint="eastAsia"/>
        </w:rPr>
      </w:pPr>
      <w:r>
        <w:rPr>
          <w:rFonts w:hint="eastAsia"/>
        </w:rPr>
        <w:t>記</w:t>
      </w:r>
    </w:p>
    <w:p w:rsidR="00DF2B82" w:rsidRDefault="00DF2B82" w:rsidP="00DF2B82">
      <w:pPr>
        <w:jc w:val="center"/>
      </w:pPr>
      <w:bookmarkStart w:id="0" w:name="_GoBack"/>
      <w:bookmarkEnd w:id="0"/>
    </w:p>
    <w:p w:rsidR="002D38EE" w:rsidRPr="006A55A1" w:rsidRDefault="002D38EE" w:rsidP="002D38EE">
      <w:pPr>
        <w:rPr>
          <w:rFonts w:asciiTheme="majorEastAsia" w:eastAsiaTheme="majorEastAsia" w:hAnsiTheme="majorEastAsia"/>
        </w:rPr>
      </w:pPr>
      <w:r w:rsidRPr="006A55A1">
        <w:rPr>
          <w:rFonts w:asciiTheme="majorEastAsia" w:eastAsiaTheme="majorEastAsia" w:hAnsiTheme="majorEastAsia" w:hint="eastAsia"/>
        </w:rPr>
        <w:t>Ⅰ 正当な理由の範囲基準について</w:t>
      </w:r>
    </w:p>
    <w:p w:rsidR="002D38EE" w:rsidRPr="006A55A1" w:rsidRDefault="002D38EE" w:rsidP="006A55A1">
      <w:pPr>
        <w:ind w:firstLineChars="100" w:firstLine="210"/>
        <w:rPr>
          <w:rFonts w:asciiTheme="majorEastAsia" w:eastAsiaTheme="majorEastAsia" w:hAnsiTheme="majorEastAsia"/>
        </w:rPr>
      </w:pPr>
      <w:r w:rsidRPr="006A55A1">
        <w:rPr>
          <w:rFonts w:asciiTheme="majorEastAsia" w:eastAsiaTheme="majorEastAsia" w:hAnsiTheme="majorEastAsia" w:hint="eastAsia"/>
        </w:rPr>
        <w:t>超過しているサービスに係る理由が次の要件に該当する場合は当該サービスの超過について正当な理由があるものとする。</w:t>
      </w:r>
    </w:p>
    <w:p w:rsidR="002D38EE" w:rsidRDefault="002D38EE" w:rsidP="006A55A1">
      <w:pPr>
        <w:ind w:left="630" w:hangingChars="300" w:hanging="630"/>
      </w:pPr>
      <w:r w:rsidRPr="006A55A1">
        <w:rPr>
          <w:rFonts w:asciiTheme="majorEastAsia" w:eastAsiaTheme="majorEastAsia" w:hAnsiTheme="majorEastAsia" w:hint="eastAsia"/>
        </w:rPr>
        <w:t>（１）サービス事業所が少数である場合</w:t>
      </w:r>
    </w:p>
    <w:p w:rsidR="002D38EE" w:rsidRDefault="002D38EE" w:rsidP="006A55A1">
      <w:pPr>
        <w:ind w:leftChars="200" w:left="840" w:hangingChars="200" w:hanging="420"/>
      </w:pPr>
      <w:r>
        <w:rPr>
          <w:rFonts w:hint="eastAsia"/>
        </w:rPr>
        <w:t>①</w:t>
      </w:r>
      <w:r w:rsidR="006A55A1">
        <w:rPr>
          <w:rFonts w:hint="eastAsia"/>
        </w:rPr>
        <w:t xml:space="preserve">　</w:t>
      </w:r>
      <w:r>
        <w:rPr>
          <w:rFonts w:hint="eastAsia"/>
        </w:rPr>
        <w:t>居宅介護支援事業所の通常の事業の実施地域に訪問介護、通所介護、福祉用具貸与</w:t>
      </w:r>
      <w:r w:rsidR="006A55A1">
        <w:rPr>
          <w:rFonts w:hint="eastAsia"/>
        </w:rPr>
        <w:t>又は</w:t>
      </w:r>
      <w:r>
        <w:rPr>
          <w:rFonts w:hint="eastAsia"/>
        </w:rPr>
        <w:t>地域密着型通所介護が</w:t>
      </w:r>
      <w:r w:rsidR="006A55A1">
        <w:rPr>
          <w:rFonts w:hint="eastAsia"/>
        </w:rPr>
        <w:t>各</w:t>
      </w:r>
      <w:r>
        <w:rPr>
          <w:rFonts w:hint="eastAsia"/>
        </w:rPr>
        <w:t>サービスごとでみた場合に５事業所未満である場合。ただし、介護保険上のみなし指定を受けている事業所については、判定期間中における介護給付費の請求実績が確認できる、前半３月の間に請求実績がない</w:t>
      </w:r>
      <w:r>
        <w:rPr>
          <w:rFonts w:hint="eastAsia"/>
        </w:rPr>
        <w:lastRenderedPageBreak/>
        <w:t>事業所は含めない。</w:t>
      </w:r>
    </w:p>
    <w:p w:rsidR="002D38EE" w:rsidRDefault="002D38EE" w:rsidP="006A55A1">
      <w:pPr>
        <w:ind w:leftChars="200" w:left="840" w:hangingChars="200" w:hanging="420"/>
      </w:pPr>
      <w:r>
        <w:rPr>
          <w:rFonts w:hint="eastAsia"/>
        </w:rPr>
        <w:t>②</w:t>
      </w:r>
      <w:r w:rsidR="006A55A1">
        <w:rPr>
          <w:rFonts w:hint="eastAsia"/>
        </w:rPr>
        <w:t xml:space="preserve">　</w:t>
      </w:r>
      <w:r>
        <w:rPr>
          <w:rFonts w:hint="eastAsia"/>
        </w:rPr>
        <w:t>特別地域居宅介護支援加算（離島等サービス提供が困難な地域）を受けている事業者である場合。</w:t>
      </w:r>
    </w:p>
    <w:p w:rsidR="002D38EE" w:rsidRDefault="002D38EE" w:rsidP="006A55A1">
      <w:pPr>
        <w:ind w:leftChars="200" w:left="840" w:hangingChars="200" w:hanging="420"/>
      </w:pPr>
      <w:r>
        <w:rPr>
          <w:rFonts w:hint="eastAsia"/>
        </w:rPr>
        <w:t>③</w:t>
      </w:r>
      <w:r w:rsidR="006A55A1">
        <w:rPr>
          <w:rFonts w:hint="eastAsia"/>
        </w:rPr>
        <w:t xml:space="preserve">　</w:t>
      </w:r>
      <w:r>
        <w:rPr>
          <w:rFonts w:hint="eastAsia"/>
        </w:rPr>
        <w:t>その他、地域の実情に特段の理由があり、利用できるサービス事業所が限られると個別に認められる場合。</w:t>
      </w:r>
    </w:p>
    <w:p w:rsidR="002D38EE" w:rsidRDefault="002D38EE" w:rsidP="002D38EE"/>
    <w:p w:rsidR="002D38EE" w:rsidRPr="006A55A1" w:rsidRDefault="002D38EE" w:rsidP="006A55A1">
      <w:pPr>
        <w:ind w:left="630" w:hangingChars="300" w:hanging="630"/>
        <w:rPr>
          <w:rFonts w:asciiTheme="majorEastAsia" w:eastAsiaTheme="majorEastAsia" w:hAnsiTheme="majorEastAsia"/>
        </w:rPr>
      </w:pPr>
      <w:r w:rsidRPr="006A55A1">
        <w:rPr>
          <w:rFonts w:asciiTheme="majorEastAsia" w:eastAsiaTheme="majorEastAsia" w:hAnsiTheme="majorEastAsia" w:hint="eastAsia"/>
        </w:rPr>
        <w:t>（２）事業所の規模が小規模である場合</w:t>
      </w:r>
    </w:p>
    <w:p w:rsidR="002D38EE" w:rsidRDefault="002D38EE" w:rsidP="006A55A1">
      <w:pPr>
        <w:ind w:leftChars="100" w:left="210" w:firstLineChars="100" w:firstLine="210"/>
      </w:pPr>
      <w:r>
        <w:rPr>
          <w:rFonts w:hint="eastAsia"/>
        </w:rPr>
        <w:t>判定期間の１月あたりの平均の居宅サービス計画の総件数が２０件以下である場合。</w:t>
      </w:r>
    </w:p>
    <w:p w:rsidR="002D38EE" w:rsidRDefault="002D38EE" w:rsidP="002D38EE"/>
    <w:p w:rsidR="002D38EE" w:rsidRPr="006A55A1" w:rsidRDefault="002D38EE" w:rsidP="006A55A1">
      <w:pPr>
        <w:ind w:left="630" w:hangingChars="300" w:hanging="630"/>
        <w:rPr>
          <w:rFonts w:asciiTheme="majorEastAsia" w:eastAsiaTheme="majorEastAsia" w:hAnsiTheme="majorEastAsia"/>
        </w:rPr>
      </w:pPr>
      <w:r w:rsidRPr="006A55A1">
        <w:rPr>
          <w:rFonts w:asciiTheme="majorEastAsia" w:eastAsiaTheme="majorEastAsia" w:hAnsiTheme="majorEastAsia" w:hint="eastAsia"/>
        </w:rPr>
        <w:t>（３）サービスの利用が少数である場合</w:t>
      </w:r>
    </w:p>
    <w:p w:rsidR="002D38EE" w:rsidRDefault="002D38EE" w:rsidP="006A55A1">
      <w:pPr>
        <w:ind w:leftChars="100" w:left="210" w:firstLineChars="100" w:firstLine="210"/>
      </w:pPr>
      <w:r>
        <w:rPr>
          <w:rFonts w:hint="eastAsia"/>
        </w:rPr>
        <w:t>対象サービスを位置付けた１月あたりの平均の居宅サービス計画件数がサービス種類ごとにみた場合に１０件以下である場合。</w:t>
      </w:r>
    </w:p>
    <w:p w:rsidR="002D38EE" w:rsidRDefault="002D38EE" w:rsidP="002D38EE"/>
    <w:p w:rsidR="002D38EE" w:rsidRPr="006A55A1" w:rsidRDefault="002D38EE" w:rsidP="006A55A1">
      <w:pPr>
        <w:ind w:left="630" w:hangingChars="300" w:hanging="630"/>
        <w:rPr>
          <w:rFonts w:asciiTheme="majorEastAsia" w:eastAsiaTheme="majorEastAsia" w:hAnsiTheme="majorEastAsia"/>
        </w:rPr>
      </w:pPr>
      <w:r w:rsidRPr="006A55A1">
        <w:rPr>
          <w:rFonts w:asciiTheme="majorEastAsia" w:eastAsiaTheme="majorEastAsia" w:hAnsiTheme="majorEastAsia" w:hint="eastAsia"/>
        </w:rPr>
        <w:t>（４）サービスの質が高いことによる利用者の希望を勘案した場合などにより特定の事業者に集中していると認められる場合</w:t>
      </w:r>
    </w:p>
    <w:p w:rsidR="002D38EE" w:rsidRDefault="002D38EE" w:rsidP="004C3254">
      <w:pPr>
        <w:ind w:leftChars="100" w:left="210" w:firstLineChars="100" w:firstLine="210"/>
      </w:pPr>
      <w:r>
        <w:rPr>
          <w:rFonts w:hint="eastAsia"/>
        </w:rPr>
        <w:t>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rsidR="002D38EE" w:rsidRDefault="002D38EE" w:rsidP="004C3254">
      <w:pPr>
        <w:ind w:leftChars="100" w:left="210"/>
      </w:pPr>
      <w:r>
        <w:rPr>
          <w:rFonts w:hint="eastAsia"/>
        </w:rPr>
        <w:t>（理由書の提出が想定される例）</w:t>
      </w:r>
    </w:p>
    <w:p w:rsidR="002D38EE" w:rsidRDefault="002D38EE" w:rsidP="004C3254">
      <w:pPr>
        <w:ind w:leftChars="200" w:left="1260" w:hangingChars="400" w:hanging="840"/>
      </w:pPr>
      <w:r>
        <w:rPr>
          <w:rFonts w:hint="eastAsia"/>
        </w:rPr>
        <w:t>（例１）特定事業所加算やサービス提供体制強化加算を算定している事業所である場合</w:t>
      </w:r>
    </w:p>
    <w:p w:rsidR="002D38EE" w:rsidRDefault="002D38EE" w:rsidP="004C3254">
      <w:pPr>
        <w:ind w:leftChars="200" w:left="1260" w:hangingChars="400" w:hanging="840"/>
      </w:pPr>
      <w:r>
        <w:rPr>
          <w:rFonts w:hint="eastAsia"/>
        </w:rPr>
        <w:t>（例２）主治医と利用者との間で既に事業者が選択されており、その選択がサービスの質が高いことによるものである場合</w:t>
      </w:r>
    </w:p>
    <w:p w:rsidR="002D38EE" w:rsidRDefault="002D38EE" w:rsidP="002D38EE"/>
    <w:p w:rsidR="002D38EE" w:rsidRPr="004C3254" w:rsidRDefault="002D38EE" w:rsidP="002D38EE">
      <w:pPr>
        <w:rPr>
          <w:rFonts w:asciiTheme="majorEastAsia" w:eastAsiaTheme="majorEastAsia" w:hAnsiTheme="majorEastAsia"/>
        </w:rPr>
      </w:pPr>
      <w:r w:rsidRPr="004C3254">
        <w:rPr>
          <w:rFonts w:asciiTheme="majorEastAsia" w:eastAsiaTheme="majorEastAsia" w:hAnsiTheme="majorEastAsia" w:hint="eastAsia"/>
        </w:rPr>
        <w:t>Ⅱ 特定事業所集中減算の取扱い</w:t>
      </w:r>
    </w:p>
    <w:p w:rsidR="002D38EE" w:rsidRDefault="002D38EE" w:rsidP="004C3254">
      <w:pPr>
        <w:ind w:leftChars="100" w:left="630" w:hangingChars="200" w:hanging="420"/>
      </w:pPr>
      <w:r>
        <w:rPr>
          <w:rFonts w:hint="eastAsia"/>
        </w:rPr>
        <w:t>（１）全ての指定居宅介護支援事業所は、</w:t>
      </w:r>
      <w:r w:rsidRPr="004C3254">
        <w:rPr>
          <w:rFonts w:asciiTheme="majorEastAsia" w:eastAsiaTheme="majorEastAsia" w:hAnsiTheme="majorEastAsia" w:hint="eastAsia"/>
        </w:rPr>
        <w:t>「チェックシート」（様式１）</w:t>
      </w:r>
      <w:r>
        <w:rPr>
          <w:rFonts w:hint="eastAsia"/>
        </w:rPr>
        <w:t>により、判定期間ごとに紹介率最高法人の割合を管理するものとし、当該書類は５年間保存するものとする。</w:t>
      </w:r>
    </w:p>
    <w:p w:rsidR="002D38EE" w:rsidRDefault="002D38EE" w:rsidP="004C3254">
      <w:pPr>
        <w:ind w:leftChars="300" w:left="630" w:firstLineChars="100" w:firstLine="210"/>
      </w:pPr>
      <w:r>
        <w:rPr>
          <w:rFonts w:hint="eastAsia"/>
        </w:rPr>
        <w:t>ただし、同じ内容が記載されている場合は、同様式にかかわらず、任意の様式を使用することができる。</w:t>
      </w:r>
    </w:p>
    <w:p w:rsidR="002D38EE" w:rsidRDefault="002D38EE" w:rsidP="004C3254">
      <w:pPr>
        <w:ind w:leftChars="100" w:left="630" w:hangingChars="200" w:hanging="420"/>
      </w:pPr>
      <w:r>
        <w:rPr>
          <w:rFonts w:hint="eastAsia"/>
        </w:rPr>
        <w:t>（２）全ての指定居宅介護支援事業所は、</w:t>
      </w:r>
      <w:r w:rsidRPr="004C3254">
        <w:rPr>
          <w:rFonts w:asciiTheme="majorEastAsia" w:eastAsiaTheme="majorEastAsia" w:hAnsiTheme="majorEastAsia" w:hint="eastAsia"/>
        </w:rPr>
        <w:t>「チェックシート」（様式１）</w:t>
      </w:r>
      <w:r>
        <w:rPr>
          <w:rFonts w:hint="eastAsia"/>
        </w:rPr>
        <w:t>の作成にあたり、</w:t>
      </w:r>
      <w:r w:rsidRPr="004C3254">
        <w:rPr>
          <w:rFonts w:asciiTheme="majorEastAsia" w:eastAsiaTheme="majorEastAsia" w:hAnsiTheme="majorEastAsia" w:hint="eastAsia"/>
        </w:rPr>
        <w:t>「計算シート」（様式２：「参考様式」）</w:t>
      </w:r>
      <w:r>
        <w:rPr>
          <w:rFonts w:hint="eastAsia"/>
        </w:rPr>
        <w:t>を使用する等により、その算定方法に間違いがないよう努めるものとする。なお、算定の根拠となった資料については、５年間保存するものとする。</w:t>
      </w:r>
    </w:p>
    <w:p w:rsidR="002D38EE" w:rsidRDefault="002D38EE" w:rsidP="004C3254">
      <w:pPr>
        <w:ind w:leftChars="100" w:left="630" w:hangingChars="200" w:hanging="420"/>
      </w:pPr>
      <w:r>
        <w:rPr>
          <w:rFonts w:hint="eastAsia"/>
        </w:rPr>
        <w:t>（３）超過事業所は、前期判定期間については９月</w:t>
      </w:r>
      <w:r w:rsidR="004C3254">
        <w:rPr>
          <w:rFonts w:hint="eastAsia"/>
        </w:rPr>
        <w:t>１５</w:t>
      </w:r>
      <w:r>
        <w:rPr>
          <w:rFonts w:hint="eastAsia"/>
        </w:rPr>
        <w:t>日までに、後期判定期間については３月</w:t>
      </w:r>
      <w:r w:rsidR="004C3254">
        <w:rPr>
          <w:rFonts w:hint="eastAsia"/>
        </w:rPr>
        <w:t>１５</w:t>
      </w:r>
      <w:r>
        <w:rPr>
          <w:rFonts w:hint="eastAsia"/>
        </w:rPr>
        <w:t>日までに</w:t>
      </w:r>
      <w:r w:rsidRPr="004C3254">
        <w:rPr>
          <w:rFonts w:asciiTheme="majorEastAsia" w:eastAsiaTheme="majorEastAsia" w:hAnsiTheme="majorEastAsia" w:hint="eastAsia"/>
        </w:rPr>
        <w:t>「チェックシート」（様式１）</w:t>
      </w:r>
      <w:r>
        <w:rPr>
          <w:rFonts w:hint="eastAsia"/>
        </w:rPr>
        <w:t>を</w:t>
      </w:r>
      <w:r w:rsidR="004C3254">
        <w:rPr>
          <w:rFonts w:hint="eastAsia"/>
        </w:rPr>
        <w:t>八幡浜市</w:t>
      </w:r>
      <w:r>
        <w:rPr>
          <w:rFonts w:hint="eastAsia"/>
        </w:rPr>
        <w:t>に提出し、正当な理</w:t>
      </w:r>
      <w:r>
        <w:rPr>
          <w:rFonts w:hint="eastAsia"/>
        </w:rPr>
        <w:lastRenderedPageBreak/>
        <w:t>由があるとする事業所については、その理由を当該様式に記載するものとする。なお、別紙として理由書を添付することもできる。</w:t>
      </w:r>
    </w:p>
    <w:p w:rsidR="002D38EE" w:rsidRDefault="002D38EE" w:rsidP="004C3254">
      <w:pPr>
        <w:ind w:leftChars="100" w:left="630" w:hangingChars="200" w:hanging="420"/>
      </w:pPr>
      <w:r>
        <w:rPr>
          <w:rFonts w:hint="eastAsia"/>
        </w:rPr>
        <w:t>（４）超過事業所が提出する</w:t>
      </w:r>
      <w:r w:rsidRPr="004C3254">
        <w:rPr>
          <w:rFonts w:asciiTheme="majorEastAsia" w:eastAsiaTheme="majorEastAsia" w:hAnsiTheme="majorEastAsia" w:hint="eastAsia"/>
        </w:rPr>
        <w:t>「チェックシート」（様式１）</w:t>
      </w:r>
      <w:r>
        <w:rPr>
          <w:rFonts w:hint="eastAsia"/>
        </w:rPr>
        <w:t>のうち、正当な理由として記載した内容を証する書類等については、</w:t>
      </w:r>
      <w:r w:rsidR="004C3254">
        <w:rPr>
          <w:rFonts w:hint="eastAsia"/>
        </w:rPr>
        <w:t>八幡浜市</w:t>
      </w:r>
      <w:r>
        <w:rPr>
          <w:rFonts w:hint="eastAsia"/>
        </w:rPr>
        <w:t>の求めに応じ提示できるよう常に整備しておくとともに、同様式の提出にあたりその一部の写しを添付するものとする。</w:t>
      </w:r>
    </w:p>
    <w:p w:rsidR="002D38EE" w:rsidRDefault="002D38EE" w:rsidP="004C3254">
      <w:pPr>
        <w:ind w:leftChars="100" w:left="630" w:hangingChars="200" w:hanging="420"/>
      </w:pPr>
      <w:r>
        <w:rPr>
          <w:rFonts w:hint="eastAsia"/>
        </w:rPr>
        <w:t>（５）みなし指定事業所における介護給付費の請求実績の有無については、通常の事業の実施地域が含まれる市町に確認すること。</w:t>
      </w:r>
    </w:p>
    <w:p w:rsidR="002D38EE" w:rsidRDefault="002D38EE" w:rsidP="002D38EE"/>
    <w:p w:rsidR="002D38EE" w:rsidRPr="004C3254" w:rsidRDefault="002D38EE" w:rsidP="002D38EE">
      <w:pPr>
        <w:rPr>
          <w:rFonts w:asciiTheme="majorEastAsia" w:eastAsiaTheme="majorEastAsia" w:hAnsiTheme="majorEastAsia"/>
        </w:rPr>
      </w:pPr>
      <w:r w:rsidRPr="004C3254">
        <w:rPr>
          <w:rFonts w:asciiTheme="majorEastAsia" w:eastAsiaTheme="majorEastAsia" w:hAnsiTheme="majorEastAsia" w:hint="eastAsia"/>
        </w:rPr>
        <w:t>Ⅲ 特定事業所集中減算様式集</w:t>
      </w:r>
    </w:p>
    <w:p w:rsidR="002D38EE" w:rsidRDefault="002D38EE" w:rsidP="004C3254">
      <w:pPr>
        <w:ind w:leftChars="300" w:left="630"/>
      </w:pPr>
      <w:r>
        <w:rPr>
          <w:rFonts w:hint="eastAsia"/>
        </w:rPr>
        <w:t>特定事業所集中減算様式集</w:t>
      </w:r>
    </w:p>
    <w:p w:rsidR="002D38EE" w:rsidRDefault="004C3254" w:rsidP="002D38EE">
      <w:r>
        <w:rPr>
          <w:rFonts w:hint="eastAsia"/>
          <w:noProof/>
        </w:rPr>
        <mc:AlternateContent>
          <mc:Choice Requires="wps">
            <w:drawing>
              <wp:anchor distT="0" distB="0" distL="114300" distR="114300" simplePos="0" relativeHeight="251659264" behindDoc="0" locked="0" layoutInCell="1" allowOverlap="1" wp14:anchorId="7AEE5533" wp14:editId="244789A1">
                <wp:simplePos x="0" y="0"/>
                <wp:positionH relativeFrom="column">
                  <wp:posOffset>3425190</wp:posOffset>
                </wp:positionH>
                <wp:positionV relativeFrom="paragraph">
                  <wp:posOffset>-3175</wp:posOffset>
                </wp:positionV>
                <wp:extent cx="1832610" cy="803275"/>
                <wp:effectExtent l="0" t="0" r="15240" b="15875"/>
                <wp:wrapNone/>
                <wp:docPr id="1" name="テキスト ボックス 1"/>
                <wp:cNvGraphicFramePr/>
                <a:graphic xmlns:a="http://schemas.openxmlformats.org/drawingml/2006/main">
                  <a:graphicData uri="http://schemas.microsoft.com/office/word/2010/wordprocessingShape">
                    <wps:wsp>
                      <wps:cNvSpPr txBox="1"/>
                      <wps:spPr>
                        <a:xfrm>
                          <a:off x="0" y="0"/>
                          <a:ext cx="1832610" cy="80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3254" w:rsidRDefault="004C3254" w:rsidP="004C3254">
                            <w:pPr>
                              <w:ind w:left="210" w:hangingChars="100" w:hanging="210"/>
                            </w:pPr>
                            <w:r>
                              <w:rPr>
                                <w:rFonts w:hint="eastAsia"/>
                              </w:rPr>
                              <w:t>※全事業所作成保管</w:t>
                            </w:r>
                          </w:p>
                          <w:p w:rsidR="004C3254" w:rsidRDefault="004C3254" w:rsidP="004C3254">
                            <w:pPr>
                              <w:ind w:left="210" w:hangingChars="100" w:hanging="210"/>
                            </w:pPr>
                            <w:r>
                              <w:rPr>
                                <w:rFonts w:hint="eastAsia"/>
                              </w:rPr>
                              <w:t>※超過事業所は半期ごとに提出すること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9.7pt;margin-top:-.25pt;width:144.3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" fillcolor="white [3201]" strokeweight=".5pt">
                <v:textbox>
                  <w:txbxContent>
                    <w:p w:rsidR="004C3254" w:rsidRDefault="004C3254" w:rsidP="004C3254">
                      <w:pPr>
                        <w:ind w:left="210" w:hangingChars="100" w:hanging="210"/>
                        <w:rPr>
                          <w:rFonts w:hint="eastAsia"/>
                        </w:rPr>
                      </w:pPr>
                      <w:r>
                        <w:rPr>
                          <w:rFonts w:hint="eastAsia"/>
                        </w:rPr>
                        <w:t>※全事業所作成保管</w:t>
                      </w:r>
                    </w:p>
                    <w:p w:rsidR="004C3254" w:rsidRDefault="004C3254" w:rsidP="004C3254">
                      <w:pPr>
                        <w:ind w:left="210" w:hangingChars="100" w:hanging="210"/>
                      </w:pPr>
                      <w:r>
                        <w:rPr>
                          <w:rFonts w:hint="eastAsia"/>
                        </w:rPr>
                        <w:t>※超過事業所は半期ごとに提出すること</w:t>
                      </w:r>
                    </w:p>
                  </w:txbxContent>
                </v:textbox>
              </v:shape>
            </w:pict>
          </mc:Fallback>
        </mc:AlternateContent>
      </w:r>
      <w:r>
        <w:tab/>
      </w:r>
      <w:r w:rsidR="002D38EE">
        <w:rPr>
          <w:rFonts w:hint="eastAsia"/>
        </w:rPr>
        <w:t>「チェックシート（様式１）」</w:t>
      </w:r>
      <w:r w:rsidR="002D38EE">
        <w:rPr>
          <w:rFonts w:hint="eastAsia"/>
        </w:rPr>
        <w:t xml:space="preserve"> </w:t>
      </w:r>
    </w:p>
    <w:p w:rsidR="004C3254" w:rsidRDefault="004C3254" w:rsidP="004C3254">
      <w:r>
        <w:tab/>
      </w:r>
      <w:r w:rsidR="002D38EE">
        <w:rPr>
          <w:rFonts w:hint="eastAsia"/>
        </w:rPr>
        <w:t>「チェックシート</w:t>
      </w:r>
      <w:r w:rsidR="00FB227E">
        <w:rPr>
          <w:rFonts w:hint="eastAsia"/>
        </w:rPr>
        <w:t>（</w:t>
      </w:r>
      <w:r w:rsidR="002D38EE">
        <w:rPr>
          <w:rFonts w:hint="eastAsia"/>
        </w:rPr>
        <w:t>記入例</w:t>
      </w:r>
      <w:r w:rsidR="00FB227E">
        <w:rPr>
          <w:rFonts w:hint="eastAsia"/>
        </w:rPr>
        <w:t>）</w:t>
      </w:r>
      <w:r w:rsidR="002D38EE">
        <w:rPr>
          <w:rFonts w:hint="eastAsia"/>
        </w:rPr>
        <w:t>」</w:t>
      </w:r>
      <w:r w:rsidR="002D38EE">
        <w:rPr>
          <w:rFonts w:hint="eastAsia"/>
        </w:rPr>
        <w:t xml:space="preserve"> </w:t>
      </w:r>
    </w:p>
    <w:p w:rsidR="002D38EE" w:rsidRDefault="002D38EE" w:rsidP="002D38EE"/>
    <w:p w:rsidR="002D38EE" w:rsidRDefault="004C3254" w:rsidP="002D38EE">
      <w:r>
        <w:tab/>
      </w:r>
      <w:r w:rsidR="002D38EE">
        <w:rPr>
          <w:rFonts w:hint="eastAsia"/>
        </w:rPr>
        <w:t>「計算シート（様式２</w:t>
      </w:r>
      <w:r w:rsidR="00FB227E">
        <w:rPr>
          <w:rFonts w:hint="eastAsia"/>
        </w:rPr>
        <w:t>）</w:t>
      </w:r>
      <w:r w:rsidR="002D38EE">
        <w:rPr>
          <w:rFonts w:hint="eastAsia"/>
        </w:rPr>
        <w:t>」</w:t>
      </w:r>
    </w:p>
    <w:p w:rsidR="002D38EE" w:rsidRDefault="004C3254" w:rsidP="002D38EE">
      <w:r>
        <w:tab/>
      </w:r>
      <w:r w:rsidR="002D38EE">
        <w:rPr>
          <w:rFonts w:hint="eastAsia"/>
        </w:rPr>
        <w:t>「計算シート（算出例</w:t>
      </w:r>
      <w:r w:rsidR="00FB227E">
        <w:rPr>
          <w:rFonts w:hint="eastAsia"/>
        </w:rPr>
        <w:t>）</w:t>
      </w:r>
      <w:r w:rsidR="002D38EE">
        <w:rPr>
          <w:rFonts w:hint="eastAsia"/>
        </w:rPr>
        <w:t>」</w:t>
      </w:r>
    </w:p>
    <w:p w:rsidR="004C3254" w:rsidRDefault="004C3254" w:rsidP="002D38EE"/>
    <w:p w:rsidR="002D38EE" w:rsidRDefault="004C3254" w:rsidP="002D38EE">
      <w:r>
        <w:tab/>
      </w:r>
      <w:r w:rsidR="002D38EE">
        <w:rPr>
          <w:rFonts w:hint="eastAsia"/>
        </w:rPr>
        <w:t>「</w:t>
      </w:r>
      <w:r w:rsidR="00FB227E">
        <w:rPr>
          <w:rFonts w:hint="eastAsia"/>
        </w:rPr>
        <w:t>（</w:t>
      </w:r>
      <w:r w:rsidR="002D38EE">
        <w:rPr>
          <w:rFonts w:hint="eastAsia"/>
        </w:rPr>
        <w:t>参考様式）理由書」</w:t>
      </w:r>
    </w:p>
    <w:p w:rsidR="004C3254" w:rsidRDefault="004C3254" w:rsidP="002D38EE"/>
    <w:p w:rsidR="002D38EE" w:rsidRPr="004C3254" w:rsidRDefault="002D38EE" w:rsidP="002D38EE">
      <w:pPr>
        <w:rPr>
          <w:rFonts w:asciiTheme="majorEastAsia" w:eastAsiaTheme="majorEastAsia" w:hAnsiTheme="majorEastAsia"/>
        </w:rPr>
      </w:pPr>
      <w:r w:rsidRPr="004C3254">
        <w:rPr>
          <w:rFonts w:asciiTheme="majorEastAsia" w:eastAsiaTheme="majorEastAsia" w:hAnsiTheme="majorEastAsia" w:hint="eastAsia"/>
        </w:rPr>
        <w:t>注意事項</w:t>
      </w:r>
    </w:p>
    <w:p w:rsidR="004C3254" w:rsidRDefault="004C3254" w:rsidP="002D38EE">
      <w:r>
        <w:rPr>
          <w:noProof/>
        </w:rPr>
        <mc:AlternateContent>
          <mc:Choice Requires="wps">
            <w:drawing>
              <wp:anchor distT="0" distB="0" distL="114300" distR="114300" simplePos="0" relativeHeight="251660288" behindDoc="0" locked="0" layoutInCell="1" allowOverlap="1" wp14:anchorId="231D4B9E" wp14:editId="35EAA652">
                <wp:simplePos x="0" y="0"/>
                <wp:positionH relativeFrom="column">
                  <wp:posOffset>110490</wp:posOffset>
                </wp:positionH>
                <wp:positionV relativeFrom="paragraph">
                  <wp:posOffset>-3176</wp:posOffset>
                </wp:positionV>
                <wp:extent cx="5261610" cy="1260475"/>
                <wp:effectExtent l="0" t="0" r="15240" b="15875"/>
                <wp:wrapNone/>
                <wp:docPr id="4" name="テキスト ボックス 4"/>
                <wp:cNvGraphicFramePr/>
                <a:graphic xmlns:a="http://schemas.openxmlformats.org/drawingml/2006/main">
                  <a:graphicData uri="http://schemas.microsoft.com/office/word/2010/wordprocessingShape">
                    <wps:wsp>
                      <wps:cNvSpPr txBox="1"/>
                      <wps:spPr>
                        <a:xfrm>
                          <a:off x="0" y="0"/>
                          <a:ext cx="5261610" cy="12604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C3254" w:rsidRDefault="004C3254" w:rsidP="004C3254">
                            <w:pPr>
                              <w:ind w:left="210" w:hangingChars="100" w:hanging="210"/>
                            </w:pPr>
                            <w:r>
                              <w:rPr>
                                <w:rFonts w:hint="eastAsia"/>
                              </w:rPr>
                              <w:t>○　特定事業所集中減算の適用を免れるため、利用者の意向に関係なく、契約居宅介護支援事業所を交互に変更するなど、運営規準に違反することのないようにしてください。</w:t>
                            </w:r>
                          </w:p>
                          <w:p w:rsidR="004C3254" w:rsidRDefault="004C3254" w:rsidP="0045500D">
                            <w:pPr>
                              <w:ind w:leftChars="100" w:left="210" w:firstLineChars="100" w:firstLine="210"/>
                            </w:pPr>
                            <w:r>
                              <w:rPr>
                                <w:rFonts w:hint="eastAsia"/>
                              </w:rPr>
                              <w:t>このような不当な事実が確認された場合は、行政処分等の対象となりますので、適切な運営をお願いします。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8.7pt;margin-top:-.25pt;width:414.3pt;height:9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" fillcolor="white [3201]" strokeweight=".5pt">
                <v:stroke dashstyle="3 1"/>
                <v:textbox>
                  <w:txbxContent>
                    <w:p w:rsidR="004C3254" w:rsidRDefault="004C3254" w:rsidP="004C3254">
                      <w:pPr>
                        <w:ind w:left="210" w:hangingChars="100" w:hanging="210"/>
                        <w:rPr>
                          <w:rFonts w:hint="eastAsia"/>
                        </w:rPr>
                      </w:pPr>
                      <w:r>
                        <w:rPr>
                          <w:rFonts w:hint="eastAsia"/>
                        </w:rPr>
                        <w:t>○</w:t>
                      </w:r>
                      <w:r>
                        <w:rPr>
                          <w:rFonts w:hint="eastAsia"/>
                        </w:rPr>
                        <w:t xml:space="preserve">　</w:t>
                      </w:r>
                      <w:r>
                        <w:rPr>
                          <w:rFonts w:hint="eastAsia"/>
                        </w:rPr>
                        <w:t>特定事業所集中減算の適用を免れるため、利用者の意向に関係なく、契約居宅介護支援事業所を交互に変更するなど、運営規準に違反することのないようにしてください。</w:t>
                      </w:r>
                    </w:p>
                    <w:p w:rsidR="004C3254" w:rsidRDefault="004C3254" w:rsidP="0045500D">
                      <w:pPr>
                        <w:ind w:leftChars="100" w:left="210" w:firstLineChars="100" w:firstLine="210"/>
                      </w:pPr>
                      <w:r>
                        <w:rPr>
                          <w:rFonts w:hint="eastAsia"/>
                        </w:rPr>
                        <w:t>このような不当な事実が確認された場合は、行政処分等の対象となりますので、適切な運営をお願いします。</w:t>
                      </w:r>
                    </w:p>
                  </w:txbxContent>
                </v:textbox>
              </v:shape>
            </w:pict>
          </mc:Fallback>
        </mc:AlternateContent>
      </w:r>
    </w:p>
    <w:sectPr w:rsidR="004C32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15" w:rsidRDefault="00DD4D15" w:rsidP="00DD4D15">
      <w:r>
        <w:separator/>
      </w:r>
    </w:p>
  </w:endnote>
  <w:endnote w:type="continuationSeparator" w:id="0">
    <w:p w:rsidR="00DD4D15" w:rsidRDefault="00DD4D15" w:rsidP="00D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15" w:rsidRDefault="00DD4D15" w:rsidP="00DD4D15">
      <w:r>
        <w:separator/>
      </w:r>
    </w:p>
  </w:footnote>
  <w:footnote w:type="continuationSeparator" w:id="0">
    <w:p w:rsidR="00DD4D15" w:rsidRDefault="00DD4D15" w:rsidP="00DD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3C"/>
    <w:rsid w:val="00017E96"/>
    <w:rsid w:val="002D38EE"/>
    <w:rsid w:val="0045500D"/>
    <w:rsid w:val="004C3254"/>
    <w:rsid w:val="006A55A1"/>
    <w:rsid w:val="00732B41"/>
    <w:rsid w:val="007E54A7"/>
    <w:rsid w:val="0088549D"/>
    <w:rsid w:val="00B3283C"/>
    <w:rsid w:val="00DD4D15"/>
    <w:rsid w:val="00DF2B82"/>
    <w:rsid w:val="00FB2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15"/>
    <w:pPr>
      <w:tabs>
        <w:tab w:val="center" w:pos="4252"/>
        <w:tab w:val="right" w:pos="8504"/>
      </w:tabs>
      <w:snapToGrid w:val="0"/>
    </w:pPr>
  </w:style>
  <w:style w:type="character" w:customStyle="1" w:styleId="a4">
    <w:name w:val="ヘッダー (文字)"/>
    <w:basedOn w:val="a0"/>
    <w:link w:val="a3"/>
    <w:uiPriority w:val="99"/>
    <w:rsid w:val="00DD4D15"/>
  </w:style>
  <w:style w:type="paragraph" w:styleId="a5">
    <w:name w:val="footer"/>
    <w:basedOn w:val="a"/>
    <w:link w:val="a6"/>
    <w:uiPriority w:val="99"/>
    <w:unhideWhenUsed/>
    <w:rsid w:val="00DD4D15"/>
    <w:pPr>
      <w:tabs>
        <w:tab w:val="center" w:pos="4252"/>
        <w:tab w:val="right" w:pos="8504"/>
      </w:tabs>
      <w:snapToGrid w:val="0"/>
    </w:pPr>
  </w:style>
  <w:style w:type="character" w:customStyle="1" w:styleId="a6">
    <w:name w:val="フッター (文字)"/>
    <w:basedOn w:val="a0"/>
    <w:link w:val="a5"/>
    <w:uiPriority w:val="99"/>
    <w:rsid w:val="00DD4D15"/>
  </w:style>
  <w:style w:type="paragraph" w:styleId="a7">
    <w:name w:val="Note Heading"/>
    <w:basedOn w:val="a"/>
    <w:next w:val="a"/>
    <w:link w:val="a8"/>
    <w:uiPriority w:val="99"/>
    <w:unhideWhenUsed/>
    <w:rsid w:val="00DF2B82"/>
    <w:pPr>
      <w:jc w:val="center"/>
    </w:pPr>
  </w:style>
  <w:style w:type="character" w:customStyle="1" w:styleId="a8">
    <w:name w:val="記 (文字)"/>
    <w:basedOn w:val="a0"/>
    <w:link w:val="a7"/>
    <w:uiPriority w:val="99"/>
    <w:rsid w:val="00DF2B82"/>
  </w:style>
  <w:style w:type="paragraph" w:styleId="a9">
    <w:name w:val="Closing"/>
    <w:basedOn w:val="a"/>
    <w:link w:val="aa"/>
    <w:uiPriority w:val="99"/>
    <w:unhideWhenUsed/>
    <w:rsid w:val="00DF2B82"/>
    <w:pPr>
      <w:jc w:val="right"/>
    </w:pPr>
  </w:style>
  <w:style w:type="character" w:customStyle="1" w:styleId="aa">
    <w:name w:val="結語 (文字)"/>
    <w:basedOn w:val="a0"/>
    <w:link w:val="a9"/>
    <w:uiPriority w:val="99"/>
    <w:rsid w:val="00DF2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15"/>
    <w:pPr>
      <w:tabs>
        <w:tab w:val="center" w:pos="4252"/>
        <w:tab w:val="right" w:pos="8504"/>
      </w:tabs>
      <w:snapToGrid w:val="0"/>
    </w:pPr>
  </w:style>
  <w:style w:type="character" w:customStyle="1" w:styleId="a4">
    <w:name w:val="ヘッダー (文字)"/>
    <w:basedOn w:val="a0"/>
    <w:link w:val="a3"/>
    <w:uiPriority w:val="99"/>
    <w:rsid w:val="00DD4D15"/>
  </w:style>
  <w:style w:type="paragraph" w:styleId="a5">
    <w:name w:val="footer"/>
    <w:basedOn w:val="a"/>
    <w:link w:val="a6"/>
    <w:uiPriority w:val="99"/>
    <w:unhideWhenUsed/>
    <w:rsid w:val="00DD4D15"/>
    <w:pPr>
      <w:tabs>
        <w:tab w:val="center" w:pos="4252"/>
        <w:tab w:val="right" w:pos="8504"/>
      </w:tabs>
      <w:snapToGrid w:val="0"/>
    </w:pPr>
  </w:style>
  <w:style w:type="character" w:customStyle="1" w:styleId="a6">
    <w:name w:val="フッター (文字)"/>
    <w:basedOn w:val="a0"/>
    <w:link w:val="a5"/>
    <w:uiPriority w:val="99"/>
    <w:rsid w:val="00DD4D15"/>
  </w:style>
  <w:style w:type="paragraph" w:styleId="a7">
    <w:name w:val="Note Heading"/>
    <w:basedOn w:val="a"/>
    <w:next w:val="a"/>
    <w:link w:val="a8"/>
    <w:uiPriority w:val="99"/>
    <w:unhideWhenUsed/>
    <w:rsid w:val="00DF2B82"/>
    <w:pPr>
      <w:jc w:val="center"/>
    </w:pPr>
  </w:style>
  <w:style w:type="character" w:customStyle="1" w:styleId="a8">
    <w:name w:val="記 (文字)"/>
    <w:basedOn w:val="a0"/>
    <w:link w:val="a7"/>
    <w:uiPriority w:val="99"/>
    <w:rsid w:val="00DF2B82"/>
  </w:style>
  <w:style w:type="paragraph" w:styleId="a9">
    <w:name w:val="Closing"/>
    <w:basedOn w:val="a"/>
    <w:link w:val="aa"/>
    <w:uiPriority w:val="99"/>
    <w:unhideWhenUsed/>
    <w:rsid w:val="00DF2B82"/>
    <w:pPr>
      <w:jc w:val="right"/>
    </w:pPr>
  </w:style>
  <w:style w:type="character" w:customStyle="1" w:styleId="aa">
    <w:name w:val="結語 (文字)"/>
    <w:basedOn w:val="a0"/>
    <w:link w:val="a9"/>
    <w:uiPriority w:val="99"/>
    <w:rsid w:val="00DF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YWH1752</dc:creator>
  <cp:keywords/>
  <dc:description/>
  <cp:lastModifiedBy>YWH1752</cp:lastModifiedBy>
  <cp:revision>7</cp:revision>
  <cp:lastPrinted>2018-09-05T04:50:00Z</cp:lastPrinted>
  <dcterms:created xsi:type="dcterms:W3CDTF">2018-09-05T02:52:00Z</dcterms:created>
  <dcterms:modified xsi:type="dcterms:W3CDTF">2019-09-14T03:19:00Z</dcterms:modified>
</cp:coreProperties>
</file>